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F4BE" w14:textId="14B0CF36" w:rsidR="00E602BB" w:rsidRPr="00A11F59" w:rsidRDefault="0095001E" w:rsidP="00B41B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11F59">
        <w:rPr>
          <w:rFonts w:ascii="Times New Roman" w:hAnsi="Times New Roman" w:cs="Times New Roman"/>
          <w:b/>
          <w:bCs/>
          <w:sz w:val="32"/>
          <w:szCs w:val="32"/>
        </w:rPr>
        <w:t xml:space="preserve">Декларування – 2025. </w:t>
      </w: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ІТ-інструменти для заповнення декларації.</w:t>
      </w:r>
    </w:p>
    <w:p w14:paraId="464772D5" w14:textId="4805EB44" w:rsidR="0095001E" w:rsidRPr="00A11F59" w:rsidRDefault="0095001E" w:rsidP="00B41B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Національне агентство з питань запобігання корупції (НАЗК) вдосконалює електронну систему декларування, аби процес подання декларації ставав дедалі зручнішим для декларантів. </w:t>
      </w:r>
      <w:proofErr w:type="spellStart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Впроважено</w:t>
      </w:r>
      <w:proofErr w:type="spellEnd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низку інструментів, які допомагають швидко заповнювати більшість розділів декларації та зменшити кількість технічних помилок.</w:t>
      </w:r>
    </w:p>
    <w:p w14:paraId="3E0D3F07" w14:textId="6973DEA5" w:rsidR="0095001E" w:rsidRPr="00A11F59" w:rsidRDefault="0095001E" w:rsidP="00B41B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Раджу скористатися ІТ-інструментами для заповнення декларації:</w:t>
      </w:r>
    </w:p>
    <w:p w14:paraId="1D37CDBB" w14:textId="77777777" w:rsidR="0095001E" w:rsidRPr="00A11F59" w:rsidRDefault="0095001E" w:rsidP="00B41BB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hyperlink r:id="rId5" w:history="1">
        <w:r w:rsidRPr="00A11F59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функцією Реєстру декларацій «Дані для декларації»</w:t>
        </w:r>
      </w:hyperlink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це зручний інструмент, який надає декларанту можливість на стадії створення чернетки декларації отримати з 15 реєстрів дані про активи та доходи, у тому числі про членів вашої сім’ї і їх активи, попередньо отримавши  їх погодження через мобільний застосунок «Дія». Детальніше  тут </w:t>
      </w:r>
      <w:hyperlink r:id="rId6" w:history="1">
        <w:r w:rsidRPr="00A11F59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https://nazk.gov.ua/uk/83480/</w:t>
        </w:r>
      </w:hyperlink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);</w:t>
      </w:r>
    </w:p>
    <w:p w14:paraId="00DC3EC7" w14:textId="661DE8E7" w:rsidR="0095001E" w:rsidRPr="00A11F59" w:rsidRDefault="0095001E" w:rsidP="00B41BB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</w:t>
      </w:r>
      <w:hyperlink r:id="rId7" w:history="1">
        <w:r w:rsidRPr="00A11F59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 xml:space="preserve">асткове </w:t>
        </w:r>
        <w:proofErr w:type="spellStart"/>
        <w:r w:rsidRPr="00A11F59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автозаповнення</w:t>
        </w:r>
        <w:proofErr w:type="spellEnd"/>
        <w:r w:rsidRPr="00A11F59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 xml:space="preserve"> декларації</w:t>
        </w:r>
      </w:hyperlink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перший крок (для тих, хто вже подавав декларації раніше) - створення чернетки декларації на основі попередньої дозволяє частково перенести інформацію до раніше заповнених розділів декларації; другий крок (для всіх декларантів) - </w:t>
      </w:r>
      <w:proofErr w:type="spellStart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автозаповнити</w:t>
      </w:r>
      <w:proofErr w:type="spellEnd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дев’ять з 16 розділів декларації, можна заповнювати  “з нуля”, а можна доповнити лише новою інформацією, яка наявна в реєстрах, до яких НАЗК має автоматизований доступ.  Детальніше є у </w:t>
      </w:r>
      <w:hyperlink r:id="rId8" w:anchor="fpstate=ive&amp;vld=cid:277162c3,vid:Sh4-OWC9YI8,st:0" w:history="1">
        <w:r w:rsidRPr="00A11F59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 </w:t>
        </w:r>
        <w:proofErr w:type="spellStart"/>
        <w:r w:rsidRPr="00A11F59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відеоінструкції</w:t>
        </w:r>
        <w:proofErr w:type="spellEnd"/>
      </w:hyperlink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НАЗК.</w:t>
      </w:r>
    </w:p>
    <w:p w14:paraId="1C61027B" w14:textId="77777777" w:rsidR="0095001E" w:rsidRPr="00A11F59" w:rsidRDefault="0095001E" w:rsidP="00B41B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Частину  інформації в чернетку декларації все ж потрібно буде </w:t>
      </w:r>
      <w:proofErr w:type="spellStart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самостійно “вручну”, але НАЗК подбало про те, щоб цей процес був максимально спрощеним. Про що варто знати декларанту перед тим як вносити дані в декларацію “вручну”:</w:t>
      </w:r>
    </w:p>
    <w:p w14:paraId="50A8E646" w14:textId="77777777" w:rsidR="0095001E" w:rsidRPr="00A11F59" w:rsidRDefault="0095001E" w:rsidP="00B41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майже до кожного поля декларації є підказка, яку можна  знайти при наведенні на поле;</w:t>
      </w:r>
    </w:p>
    <w:p w14:paraId="7A96FC9B" w14:textId="77777777" w:rsidR="0095001E" w:rsidRPr="00A11F59" w:rsidRDefault="0095001E" w:rsidP="00B41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розширено перелік видів </w:t>
      </w:r>
      <w:proofErr w:type="spellStart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обʼєктів</w:t>
      </w:r>
      <w:proofErr w:type="spellEnd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випадаючому</w:t>
      </w:r>
      <w:proofErr w:type="spellEnd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списку майже кожного розділу декларації, доповнено його тими </w:t>
      </w:r>
      <w:proofErr w:type="spellStart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обʼєктами</w:t>
      </w:r>
      <w:proofErr w:type="spellEnd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що найчастіше декларувалися в останні звітні періоди;</w:t>
      </w:r>
    </w:p>
    <w:p w14:paraId="0D65C17E" w14:textId="77777777" w:rsidR="0095001E" w:rsidRPr="00A11F59" w:rsidRDefault="0095001E" w:rsidP="00B41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 кожного розділу декларації додано інтерактивні посилання на актуальні роз’яснення НАЗК – </w:t>
      </w:r>
      <w:hyperlink r:id="rId9" w:history="1">
        <w:r w:rsidRPr="00A11F59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Базу знань</w:t>
        </w:r>
      </w:hyperlink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що містять корисні рекомендації як заповнити декларацію, у тому числі на прикладах з життєвих ситуацій; </w:t>
      </w:r>
    </w:p>
    <w:p w14:paraId="13BCC9EE" w14:textId="77777777" w:rsidR="0095001E" w:rsidRPr="00A11F59" w:rsidRDefault="0095001E" w:rsidP="00B41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після заповнення кожного розділу декларації Реєстр декларацій виконує логічну перевірку внесених даних та підказує, де можуть бути помилки. Результати такої перевірки будуть зазначені в  описі помилки біля поля, при переході до наступного розділу та при збереженні декларації: якщо 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допущено помилку - про неї буде вказано вгорі розділу або відповідного запису;</w:t>
      </w:r>
    </w:p>
    <w:p w14:paraId="4C9B6A0E" w14:textId="6FFDFAAD" w:rsidR="0095001E" w:rsidRPr="00A11F59" w:rsidRDefault="0095001E" w:rsidP="00B41B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тим, хто отримав </w:t>
      </w:r>
      <w:hyperlink r:id="rId10" w:history="1">
        <w:r w:rsidRPr="00A11F59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довідку про результати автоматизованої перевірки декларації</w:t>
        </w:r>
      </w:hyperlink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за попередні періоди, раджу скористатися нею, адже вона допоможе самостійно звірити внесені дані в чернетку декларації з даними, наявними в реєстрах.</w:t>
      </w:r>
    </w:p>
    <w:p w14:paraId="01407694" w14:textId="77777777" w:rsidR="0095001E" w:rsidRPr="00A11F59" w:rsidRDefault="0095001E" w:rsidP="00B41B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того, щоб не витрачати багато часу та не помилятися при внесенні даних «вручну» НАЗК передбачило в формі декларації низку зручних інструментів:</w:t>
      </w:r>
    </w:p>
    <w:p w14:paraId="2111B6ED" w14:textId="77777777" w:rsidR="0095001E" w:rsidRPr="00A11F59" w:rsidRDefault="0095001E" w:rsidP="00B41BB4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адреси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у декларації використовується офіційний державний довідник адрес — </w:t>
      </w: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КАТОТТГ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(Класифікатор адміністративно-територіальних одиниць та територій територіальних громад). Адресу потрібно заповнювати послідовно — від поштового індексу до населеного пункту та вулиці. Це дозволяє системі пропонувати вам правильні відомості для уникнення помилок. Обирайте один із запропонованих варіантів;</w:t>
      </w:r>
    </w:p>
    <w:p w14:paraId="3FA36D8D" w14:textId="77777777" w:rsidR="0095001E" w:rsidRPr="00A11F59" w:rsidRDefault="0095001E" w:rsidP="00B41BB4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транспортні засоби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марка і модель автомобіля обираються із довідника. Набирайте перші літери і виберіть один із запропонованих варіантів;</w:t>
      </w:r>
    </w:p>
    <w:p w14:paraId="7BAE9C30" w14:textId="77777777" w:rsidR="0095001E" w:rsidRPr="00A11F59" w:rsidRDefault="0095001E" w:rsidP="00B41BB4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юридичні особи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незалежно від розділу її назву можна </w:t>
      </w:r>
      <w:proofErr w:type="spellStart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автозаповнити</w:t>
      </w:r>
      <w:proofErr w:type="spellEnd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кодом ЄДРПОУ, а відтепер і навпаки - за назвою юридичної особи - набирайте будь-яку частину назви, виберіть один із запропонованих варіантів і автоматизовано буде </w:t>
      </w:r>
      <w:proofErr w:type="spellStart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внесено</w:t>
      </w:r>
      <w:proofErr w:type="spellEnd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код ЄДРПОУ;</w:t>
      </w:r>
    </w:p>
    <w:p w14:paraId="74AADD6A" w14:textId="77777777" w:rsidR="0095001E" w:rsidRPr="00A11F59" w:rsidRDefault="0095001E" w:rsidP="00B41BB4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банківські рахунки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не потрібно зазначати номери рахунків (IBAN). У декларації вказуються лише банківська або інша фінансова установа, в якій відкриті рахунки, при чому установу банку треба вказати один раз, навіть якщо у вас декілька рахунків в цьому банку, і додати себе або члена сім’ї (за наявності), якщо вони є клієнтами того ж самого банку/установи;</w:t>
      </w:r>
    </w:p>
    <w:p w14:paraId="59FD0EA3" w14:textId="77777777" w:rsidR="0095001E" w:rsidRPr="00A11F59" w:rsidRDefault="0095001E" w:rsidP="00B41BB4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державні цінні папери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</w:t>
      </w: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ОВДП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 </w:t>
      </w: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ОЗДП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казначейські зобов’язання, державні деривативи. Дані про емітента таких цінних паперів система заповнює автоматично. Декларанту  достатньо лише обрати вид такого цінного паперу;</w:t>
      </w:r>
    </w:p>
    <w:p w14:paraId="5C27690A" w14:textId="77777777" w:rsidR="0095001E" w:rsidRPr="00A11F59" w:rsidRDefault="0095001E" w:rsidP="00B41BB4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окремі види доходів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автоматично заповнюються дані про джерело, якщо вид доходу такий: погашення ОВДП, процентів від погашення ОВДП, виплати ВПО, «</w:t>
      </w:r>
      <w:proofErr w:type="spellStart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єПідтримка</w:t>
      </w:r>
      <w:proofErr w:type="spellEnd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», «Зимова підтримка», Національний </w:t>
      </w:r>
      <w:proofErr w:type="spellStart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кешбек</w:t>
      </w:r>
      <w:proofErr w:type="spellEnd"/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EF59F10" w14:textId="77777777" w:rsidR="0095001E" w:rsidRPr="00A11F59" w:rsidRDefault="0095001E" w:rsidP="00B41BB4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валюта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у розділах 12 та 13 декларації при обранні валюти поряд із літерним кодом валюти додано її повну назву (UAH — українська гривня, USD — долар США, EUR — євро);</w:t>
      </w:r>
    </w:p>
    <w:p w14:paraId="307B543A" w14:textId="661B1C07" w:rsidR="0095001E" w:rsidRPr="00A11F59" w:rsidRDefault="0095001E" w:rsidP="00B41BB4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F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видатки і правочини: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додано логічні перевірки, які не дозволять декларанту  помилитись і, наприклад, поставити суму отриманого доходу від продажу майна у поле щодо видатку.</w:t>
      </w:r>
      <w:r w:rsidRPr="00A11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95001E" w:rsidRPr="00A1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74B16"/>
    <w:multiLevelType w:val="multilevel"/>
    <w:tmpl w:val="BE2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8751D"/>
    <w:multiLevelType w:val="multilevel"/>
    <w:tmpl w:val="509A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4D076F"/>
    <w:multiLevelType w:val="multilevel"/>
    <w:tmpl w:val="A6EA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120097">
    <w:abstractNumId w:val="2"/>
  </w:num>
  <w:num w:numId="2" w16cid:durableId="630747896">
    <w:abstractNumId w:val="1"/>
  </w:num>
  <w:num w:numId="3" w16cid:durableId="66945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1E"/>
    <w:rsid w:val="000961CE"/>
    <w:rsid w:val="005456B8"/>
    <w:rsid w:val="00596470"/>
    <w:rsid w:val="0090413D"/>
    <w:rsid w:val="0095001E"/>
    <w:rsid w:val="00A11F59"/>
    <w:rsid w:val="00B41BB4"/>
    <w:rsid w:val="00C52EAA"/>
    <w:rsid w:val="00E6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30F5"/>
  <w15:chartTrackingRefBased/>
  <w15:docId w15:val="{EB4943C0-1A50-4D18-B48A-2FEBE2DB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50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0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500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5001E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5001E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5001E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5001E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5001E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5001E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5001E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50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5001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50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5001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950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5001E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950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0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5001E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950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0%D0%B2%D1%82%D0%BE%D0%B7%D0%B0%D0%BF%D0%BE%D0%B2%D0%BD%D0%B5%D0%BD%D0%BD%D1%8F+%D1%87%D0%B5%D1%80%D0%BD%D0%B5%D1%82%D0%BA%D0%B8+%D0%B4%D0%B5%D0%BA%D0%BB%D0%B0%D1%80%D0%B0%D1%86%D1%96%D1%97&amp;rlz=1C1GCEU_ukUA989UA989&amp;oq=%D0%B0%D0%B2%D1%82%D0%BE%D0%B7%D0%B0%D0%BF%D0%BE%D0%B2%D0%BD%D0%B5%D0%BD%D0%BD%D1%8F+%D1%87%D0%B5%D1%80%D0%BD%D0%B5%D1%82%D0%BA%D1%83%D0%B8&amp;gs_lcrp=EgZjaHJvbWUqCAgBEAAYDRgeMgYIABBFGDkyCAgBEAAYDRgeMgoIAhAAGAUYDRgeMgoIAxAAGIAEGKIEMgoIBBAAGIAEGKIEMgoIBRAAGIAEGKIEMgoIBhAAGIAEGKIEMgcIBxAAGO8F0gEJNTczMWowajE1qAIIsAIB8QXXgt089Q3g-PEF14LdPPUN4Pg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zk.gov.ua/uk/avtozapovnennya-deklaratsii-nazk-prezentuvalo-novu-funktsiy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zk.gov.ua/uk/8348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zk.gov.ua/uk/yak-sformuvaty-dovidku-dani-dlya-deklaratsii-pokrokova-instruktsiya/" TargetMode="External"/><Relationship Id="rId10" Type="http://schemas.openxmlformats.org/officeDocument/2006/relationships/hyperlink" Target="https://nazk.gov.ua/uk/novyny/avtomatyzovana-perevirka-deklaratsiy-scho-oznachae-otrymana-dovidka-v-reestri-deklaratsi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nazk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771</Words>
  <Characters>4972</Characters>
  <Application>Microsoft Office Word</Application>
  <DocSecurity>0</DocSecurity>
  <Lines>99</Lines>
  <Paragraphs>27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Ospodov</dc:creator>
  <cp:keywords/>
  <dc:description/>
  <cp:lastModifiedBy>Liudmyla Polieva</cp:lastModifiedBy>
  <cp:revision>4</cp:revision>
  <dcterms:created xsi:type="dcterms:W3CDTF">2026-01-08T08:02:00Z</dcterms:created>
  <dcterms:modified xsi:type="dcterms:W3CDTF">2026-02-11T09:06:00Z</dcterms:modified>
</cp:coreProperties>
</file>