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E82D" w14:textId="6123D190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Декларування - 2025</w:t>
      </w:r>
    </w:p>
    <w:p w14:paraId="6D921A51" w14:textId="5600C6C5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 січня 2026 року стартувала чергова щорічна кампанія декларування для публічних службовців за 2025 рік і вона триватиме до 31 березня 2026 року включно. </w:t>
      </w:r>
    </w:p>
    <w:p w14:paraId="1908933C" w14:textId="15668437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заповнення та подання декларації, зокрема загальні правила заповнення декларації та її розділів, </w:t>
      </w:r>
      <w:hyperlink r:id="rId5" w:anchor="n122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затверджений</w:t>
        </w:r>
      </w:hyperlink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Наказом НАЗК від 8 листопада 2023 року № 252/23 – не змінився.</w:t>
      </w:r>
    </w:p>
    <w:p w14:paraId="535E88A7" w14:textId="77777777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Крім того, перед поданням декларації варто:</w:t>
      </w:r>
    </w:p>
    <w:p w14:paraId="6CAD534B" w14:textId="498CC0D5" w:rsidR="00016E61" w:rsidRPr="0096512E" w:rsidRDefault="00016E61" w:rsidP="00016E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перевірити дійсність кваліфікованого електронного підпису (КЕП) — ключ до особистого кабінету в </w:t>
      </w:r>
      <w:hyperlink r:id="rId6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Єд</w:t>
        </w:r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и</w:t>
        </w:r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ного державного реєстру декларацій осіб, уповноважених на виконання функцій держави або місцевого самоврядування (далі – Реєстр декларацій)</w:t>
        </w:r>
      </w:hyperlink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0616246" w14:textId="77777777" w:rsidR="00016E61" w:rsidRPr="0096512E" w:rsidRDefault="00016E61" w:rsidP="00016E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упорядкувати документи, на підставі яких набуто право власності чи користування на рухоме та нерухоме майно, та документи, які стосуються інших </w:t>
      </w:r>
      <w:proofErr w:type="spellStart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обʼєктів</w:t>
      </w:r>
      <w:proofErr w:type="spellEnd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декларування, не </w:t>
      </w:r>
      <w:proofErr w:type="spellStart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забудьте</w:t>
      </w:r>
      <w:proofErr w:type="spellEnd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отримати інформацію банків про фінансові операції та залишки коштів на рахунках, оскільки для внесення точних даних необхідно мати під рукою всі підтверджуючі документи;</w:t>
      </w:r>
    </w:p>
    <w:p w14:paraId="4304055A" w14:textId="77777777" w:rsidR="00016E61" w:rsidRPr="0096512E" w:rsidRDefault="00016E61" w:rsidP="00016E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подбати про відновлення втрачених документів, необхідних для внесення відомостей до декларації. </w:t>
      </w:r>
    </w:p>
    <w:p w14:paraId="0C4E1315" w14:textId="13CD389F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Корисну інформацію з питань декларування можна знайти в </w:t>
      </w:r>
      <w:hyperlink r:id="rId7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Базі знань НАЗК</w:t>
        </w:r>
      </w:hyperlink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, або </w:t>
      </w:r>
      <w:hyperlink r:id="rId8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звернутись до провідного</w:t>
        </w:r>
        <w:r w:rsidR="0002237E"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 xml:space="preserve"> професіонала</w:t>
        </w:r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  <w:r w:rsidR="0002237E"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з антикорупційної діяльності</w:t>
        </w:r>
      </w:hyperlink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підприємства.</w:t>
      </w:r>
    </w:p>
    <w:p w14:paraId="2A3EC7C0" w14:textId="572989A3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 час заповнення декларації ра</w:t>
      </w:r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джу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вам не ігнорувати </w:t>
      </w:r>
      <w:hyperlink r:id="rId9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ІТ- інструменти</w:t>
        </w:r>
      </w:hyperlink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від НАЗК: функції Реєстру декларацій «Дані для декларації» та «Часткове </w:t>
      </w:r>
      <w:proofErr w:type="spellStart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автозаповнення</w:t>
      </w:r>
      <w:proofErr w:type="spellEnd"/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чернетки декларації», які допоможуть швидко заповнити більшість розділів декларації та зменшити кількість технічних помилок</w:t>
      </w:r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="0002237E" w:rsidRPr="009651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надам</w:t>
      </w:r>
      <w:proofErr w:type="spellEnd"/>
      <w:r w:rsidR="0002237E" w:rsidRPr="009651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додатково</w:t>
      </w:r>
      <w:r w:rsidRPr="0096512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581D04A" w14:textId="4D2AB051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Зверта</w:t>
      </w:r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увагу, що довідку “Дані для декларації” за звітний період можливо сформувати лише один раз. Проте, відповідно до податкового законодавства, наповнення Державного реєстру фізичних осіб – платників податків (ДРФО) даними про доходи за останній місяць звітного року здійснюється впродовж 25 днів після його завершення, тобто орієнтовно до 25 січня наступного за звітним року. </w:t>
      </w:r>
    </w:p>
    <w:p w14:paraId="202081EC" w14:textId="1ACE2EC3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Тож перед формуванням довідки “Дані для декларації” рад</w:t>
      </w:r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жу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переконатися, що інформація про отримані доходи уже внесена в ДРФО — НАЗК отримує відомості саме з цього Реєстру. У випадку їх відсутності зазначена інформація може відображатися не в повному обсязі. Перевірити, що дані за весь 2025 рік 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вже внесені, можна в електронному кабінеті платника податків на сайті </w:t>
      </w:r>
      <w:hyperlink r:id="rId10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Державної податкової служби України.</w:t>
        </w:r>
      </w:hyperlink>
    </w:p>
    <w:p w14:paraId="1A2508D0" w14:textId="36EDAD99" w:rsidR="00016E61" w:rsidRPr="0096512E" w:rsidRDefault="00016E61" w:rsidP="00016E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Нагаду</w:t>
      </w:r>
      <w:r w:rsidR="0002237E"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неподання або несвоєчасне подання декларації без поважних причин тягне за собою кримінальну (366-3 КК України) або адміністративну відповідальність (ч. 1 ст. 172-6 КУпАП). Крім того, відомості про осіб, які вчинили корупційні або пов’язані з корупцією правопорушення, підлягають внесенню до </w:t>
      </w:r>
      <w:hyperlink r:id="rId11" w:history="1">
        <w:r w:rsidRPr="0096512E">
          <w:rPr>
            <w:rFonts w:ascii="Times New Roman" w:eastAsia="Times New Roman" w:hAnsi="Times New Roman" w:cs="Times New Roman"/>
            <w:color w:val="005AAD"/>
            <w:kern w:val="0"/>
            <w:sz w:val="28"/>
            <w:szCs w:val="28"/>
            <w:u w:val="single"/>
            <w:lang w:eastAsia="ru-RU"/>
            <w14:ligatures w14:val="none"/>
          </w:rPr>
          <w:t>Єдиного державного реєстру осіб, які вчинили корупційні або пов’язані з корупцією правопорушення</w:t>
        </w:r>
      </w:hyperlink>
      <w:r w:rsidRPr="009651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(Реєстру порушників).</w:t>
      </w:r>
    </w:p>
    <w:p w14:paraId="1C83B8E0" w14:textId="77777777" w:rsidR="00E602BB" w:rsidRPr="0096512E" w:rsidRDefault="00E602BB" w:rsidP="00016E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02BB" w:rsidRPr="0096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015"/>
    <w:multiLevelType w:val="multilevel"/>
    <w:tmpl w:val="86B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1E5F"/>
    <w:multiLevelType w:val="multilevel"/>
    <w:tmpl w:val="D47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991860">
    <w:abstractNumId w:val="0"/>
  </w:num>
  <w:num w:numId="2" w16cid:durableId="167996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61"/>
    <w:rsid w:val="00016E61"/>
    <w:rsid w:val="0002237E"/>
    <w:rsid w:val="000961CE"/>
    <w:rsid w:val="00372D7C"/>
    <w:rsid w:val="005456B8"/>
    <w:rsid w:val="0090413D"/>
    <w:rsid w:val="0096512E"/>
    <w:rsid w:val="00BF5DB7"/>
    <w:rsid w:val="00E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812"/>
  <w15:chartTrackingRefBased/>
  <w15:docId w15:val="{4F6CA182-C8AD-4F5E-A7EF-3EF1772A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16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E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16E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16E61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16E61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16E61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16E6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16E6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16E6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16E6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16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6E6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16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6E6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01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6E61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016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E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6E61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016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zk.gov.ua/uk/u-razi-pytan-schodo-zapovnennya-deklaratsiy-chy-konfliktu-interesiv-publichni-sluzhbovtsi-nasampered-mayut-zvertatysya-do-ak-upovnovazhenyh-za-mistsem-robo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iki.nazk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nazk.gov.ua/login" TargetMode="External"/><Relationship Id="rId11" Type="http://schemas.openxmlformats.org/officeDocument/2006/relationships/hyperlink" Target="https://corruptinfo.nazk.gov.ua/" TargetMode="External"/><Relationship Id="rId5" Type="http://schemas.openxmlformats.org/officeDocument/2006/relationships/hyperlink" Target="https://zakon.rada.gov.ua/laws/show/z1965-23" TargetMode="External"/><Relationship Id="rId10" Type="http://schemas.openxmlformats.org/officeDocument/2006/relationships/hyperlink" Target="https://cabinet.tax.gov.ua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zk.gov.ua/uk/novyny/rizdvyanyy-koshyk-dlya-deklaranta-instrumenty-nazk-scho-dopomozhut-zapovnyty-deklaratsiyu-legko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449</Words>
  <Characters>2895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Ospodov</dc:creator>
  <cp:keywords/>
  <dc:description/>
  <cp:lastModifiedBy>Liudmyla Polieva</cp:lastModifiedBy>
  <cp:revision>2</cp:revision>
  <dcterms:created xsi:type="dcterms:W3CDTF">2026-01-08T07:17:00Z</dcterms:created>
  <dcterms:modified xsi:type="dcterms:W3CDTF">2026-02-11T09:08:00Z</dcterms:modified>
</cp:coreProperties>
</file>