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8DB01" w14:textId="3152AE28" w:rsidR="00F66DA0" w:rsidRPr="009A1939" w:rsidRDefault="00307B5E">
      <w:pPr>
        <w:spacing w:after="0" w:line="240" w:lineRule="auto"/>
        <w:jc w:val="center"/>
        <w:rPr>
          <w:rFonts w:ascii="Times New Roman" w:eastAsia="Times New Roman" w:hAnsi="Times New Roman"/>
          <w:b/>
          <w:bCs/>
          <w:i/>
          <w:sz w:val="24"/>
          <w:szCs w:val="24"/>
        </w:rPr>
      </w:pPr>
      <w:r w:rsidRPr="009A1939">
        <w:rPr>
          <w:rFonts w:ascii="Times New Roman" w:eastAsia="Times New Roman" w:hAnsi="Times New Roman"/>
          <w:b/>
          <w:bCs/>
          <w:i/>
          <w:sz w:val="24"/>
          <w:szCs w:val="24"/>
        </w:rPr>
        <w:t>ДЕРЖАВНЕ ПІДПРИЄМСТВО «УДВП ІЗОТОП»</w:t>
      </w:r>
    </w:p>
    <w:p w14:paraId="46F519B1" w14:textId="77777777" w:rsidR="00F66DA0" w:rsidRPr="009A1939" w:rsidRDefault="00AE3490">
      <w:pPr>
        <w:spacing w:before="280" w:after="0" w:line="240" w:lineRule="auto"/>
        <w:jc w:val="center"/>
        <w:rPr>
          <w:rFonts w:ascii="Times New Roman" w:eastAsia="Times New Roman" w:hAnsi="Times New Roman"/>
          <w:b/>
          <w:sz w:val="20"/>
          <w:szCs w:val="20"/>
        </w:rPr>
      </w:pPr>
      <w:r w:rsidRPr="009A1939">
        <w:rPr>
          <w:rFonts w:ascii="Times New Roman" w:eastAsia="Times New Roman" w:hAnsi="Times New Roman"/>
          <w:b/>
          <w:sz w:val="20"/>
          <w:szCs w:val="20"/>
        </w:rPr>
        <w:t xml:space="preserve">ОБҐРУНТУВАННЯ </w:t>
      </w:r>
    </w:p>
    <w:p w14:paraId="43E773CB" w14:textId="77777777" w:rsidR="00F66DA0" w:rsidRPr="009A1939" w:rsidRDefault="00AE3490">
      <w:pPr>
        <w:spacing w:after="280" w:line="240" w:lineRule="auto"/>
        <w:jc w:val="center"/>
        <w:rPr>
          <w:rFonts w:ascii="Times New Roman" w:eastAsia="Times New Roman" w:hAnsi="Times New Roman"/>
          <w:u w:val="single"/>
        </w:rPr>
      </w:pPr>
      <w:r w:rsidRPr="009A1939">
        <w:rPr>
          <w:rFonts w:ascii="Times New Roman" w:eastAsia="Times New Roman" w:hAnsi="Times New Roman"/>
        </w:rPr>
        <w:t>технічних та якісних характеристик закупівлі</w:t>
      </w:r>
      <w:r w:rsidRPr="009A1939">
        <w:rPr>
          <w:rFonts w:ascii="Times New Roman" w:eastAsia="Times New Roman" w:hAnsi="Times New Roman"/>
          <w:b/>
        </w:rPr>
        <w:t xml:space="preserve">, </w:t>
      </w:r>
      <w:r w:rsidRPr="009A1939">
        <w:rPr>
          <w:rFonts w:ascii="Times New Roman" w:eastAsia="Times New Roman" w:hAnsi="Times New Roman"/>
        </w:rPr>
        <w:t>розміру бюджетного призначення, очікуваної вартості предмета закупівлі</w:t>
      </w:r>
    </w:p>
    <w:p w14:paraId="2151FA14" w14:textId="77777777" w:rsidR="00F66DA0" w:rsidRPr="009A1939" w:rsidRDefault="00AE3490" w:rsidP="0017008A">
      <w:pPr>
        <w:spacing w:before="280" w:after="280" w:line="240" w:lineRule="auto"/>
        <w:jc w:val="center"/>
        <w:rPr>
          <w:rFonts w:ascii="Times New Roman" w:eastAsia="Times New Roman" w:hAnsi="Times New Roman"/>
          <w:i/>
        </w:rPr>
      </w:pPr>
      <w:r w:rsidRPr="009A1939">
        <w:rPr>
          <w:rFonts w:ascii="Times New Roman" w:eastAsia="Times New Roman" w:hAnsi="Times New Roman"/>
          <w:i/>
        </w:rPr>
        <w:t>(</w:t>
      </w:r>
      <w:r w:rsidRPr="009A1939">
        <w:rPr>
          <w:rFonts w:ascii="Times New Roman" w:eastAsia="Times New Roman" w:hAnsi="Times New Roman"/>
          <w:i/>
          <w:sz w:val="18"/>
          <w:szCs w:val="18"/>
        </w:rPr>
        <w:t>оприлюднюється на виконання постанови КМУ № 710 від 11.10.2016 «Про ефективне використання державних коштів» (зі змінами))</w:t>
      </w:r>
    </w:p>
    <w:p w14:paraId="60F3A81B" w14:textId="5E6875A2" w:rsidR="00F66DA0" w:rsidRPr="0017008A" w:rsidRDefault="00AE3490" w:rsidP="0017008A">
      <w:pPr>
        <w:spacing w:before="280" w:after="280" w:line="240" w:lineRule="auto"/>
        <w:jc w:val="both"/>
        <w:rPr>
          <w:rFonts w:ascii="Times New Roman" w:eastAsia="Times New Roman" w:hAnsi="Times New Roman"/>
          <w:b/>
          <w:i/>
          <w:color w:val="000000"/>
        </w:rPr>
      </w:pPr>
      <w:r w:rsidRPr="0017008A">
        <w:rPr>
          <w:rFonts w:ascii="Times New Roman" w:eastAsia="Times New Roman" w:hAnsi="Times New Roman"/>
          <w:b/>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307B5E" w:rsidRPr="0017008A">
        <w:rPr>
          <w:rFonts w:ascii="Times New Roman" w:eastAsia="Times New Roman" w:hAnsi="Times New Roman"/>
          <w:bCs/>
        </w:rPr>
        <w:t>ДЕРЖАВНЕ ПІДПРИЄМСТВО «УДВП ІЗОТОП», код за ЄДРПОУ</w:t>
      </w:r>
      <w:r w:rsidR="00747C4E" w:rsidRPr="0017008A">
        <w:rPr>
          <w:rFonts w:ascii="Times New Roman" w:eastAsia="Times New Roman" w:hAnsi="Times New Roman"/>
          <w:bCs/>
        </w:rPr>
        <w:t xml:space="preserve"> 14308322, 03150, м. Київ, вул. Антоновича, 152, Юридична особа, яка забезпечує потреби держави або територіальної громади</w:t>
      </w:r>
    </w:p>
    <w:p w14:paraId="049E85AE" w14:textId="1998779B" w:rsidR="00A13CFB" w:rsidRPr="0017008A" w:rsidRDefault="00AE3490" w:rsidP="0017008A">
      <w:pPr>
        <w:spacing w:before="280" w:after="280" w:line="240" w:lineRule="auto"/>
        <w:jc w:val="both"/>
        <w:rPr>
          <w:rFonts w:ascii="Times New Roman" w:hAnsi="Times New Roman"/>
          <w:i/>
          <w:iCs/>
          <w:u w:val="single"/>
        </w:rPr>
      </w:pPr>
      <w:bookmarkStart w:id="0" w:name="_heading=h.gjdgxs" w:colFirst="0" w:colLast="0"/>
      <w:bookmarkEnd w:id="0"/>
      <w:r w:rsidRPr="0017008A">
        <w:rPr>
          <w:rFonts w:ascii="Times New Roman" w:eastAsia="Times New Roman" w:hAnsi="Times New Roman"/>
          <w:b/>
          <w:color w:val="00000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747C4E" w:rsidRPr="0017008A">
        <w:rPr>
          <w:rFonts w:ascii="Times New Roman" w:eastAsia="Times New Roman" w:hAnsi="Times New Roman"/>
          <w:b/>
          <w:color w:val="000000"/>
        </w:rPr>
        <w:t xml:space="preserve"> </w:t>
      </w:r>
      <w:r w:rsidR="00F67A71" w:rsidRPr="0017008A">
        <w:rPr>
          <w:rFonts w:ascii="Times New Roman" w:hAnsi="Times New Roman"/>
          <w:i/>
          <w:iCs/>
          <w:u w:val="single"/>
        </w:rPr>
        <w:t>Бензин А-95, дизельне паливо (в паливних картах, смарт-картах) ДК 021:2015 09130000-9 Нафта і дистиляти</w:t>
      </w:r>
    </w:p>
    <w:p w14:paraId="4F9D4872" w14:textId="77E5B87F" w:rsidR="00F66DA0" w:rsidRPr="0017008A" w:rsidRDefault="00AE3490" w:rsidP="0017008A">
      <w:pPr>
        <w:spacing w:before="280" w:after="280" w:line="240" w:lineRule="auto"/>
        <w:jc w:val="both"/>
        <w:rPr>
          <w:rFonts w:ascii="Times New Roman" w:eastAsia="Times New Roman" w:hAnsi="Times New Roman"/>
        </w:rPr>
      </w:pPr>
      <w:r w:rsidRPr="0017008A">
        <w:rPr>
          <w:rFonts w:ascii="Times New Roman" w:eastAsia="Times New Roman" w:hAnsi="Times New Roman"/>
          <w:b/>
        </w:rPr>
        <w:t>Вид процедури закупівлі:</w:t>
      </w:r>
      <w:r w:rsidR="00A13CFB" w:rsidRPr="0017008A">
        <w:rPr>
          <w:rFonts w:ascii="Times New Roman" w:eastAsia="Times New Roman" w:hAnsi="Times New Roman"/>
          <w:b/>
        </w:rPr>
        <w:t xml:space="preserve"> </w:t>
      </w:r>
      <w:r w:rsidR="00A13CFB" w:rsidRPr="0017008A">
        <w:rPr>
          <w:rFonts w:ascii="Times New Roman" w:eastAsia="Times New Roman" w:hAnsi="Times New Roman"/>
          <w:bCs/>
        </w:rPr>
        <w:t>відкриті торги з особливостями,</w:t>
      </w:r>
      <w:r w:rsidR="00A13CFB" w:rsidRPr="0017008A">
        <w:rPr>
          <w:rFonts w:ascii="Times New Roman" w:eastAsia="Times New Roman" w:hAnsi="Times New Roman"/>
          <w:b/>
        </w:rPr>
        <w:t xml:space="preserve">  </w:t>
      </w:r>
      <w:r w:rsidRPr="0017008A">
        <w:rPr>
          <w:rFonts w:ascii="Times New Roman" w:eastAsia="Times New Roman" w:hAnsi="Times New Roman"/>
        </w:rPr>
        <w:t xml:space="preserve"> </w:t>
      </w:r>
    </w:p>
    <w:p w14:paraId="56F7EACF" w14:textId="1D3ED1F6" w:rsidR="00A13CFB" w:rsidRPr="0017008A" w:rsidRDefault="00A13CFB" w:rsidP="0017008A">
      <w:pPr>
        <w:spacing w:after="280" w:line="240" w:lineRule="auto"/>
        <w:jc w:val="both"/>
        <w:rPr>
          <w:rFonts w:ascii="Times New Roman" w:eastAsia="Times New Roman" w:hAnsi="Times New Roman"/>
          <w:bCs/>
        </w:rPr>
      </w:pPr>
      <w:r w:rsidRPr="0017008A">
        <w:rPr>
          <w:rFonts w:ascii="Times New Roman" w:eastAsia="Times New Roman" w:hAnsi="Times New Roman"/>
          <w:b/>
        </w:rPr>
        <w:t>Ідентифікатор процедури закупівлі:</w:t>
      </w:r>
      <w:r w:rsidRPr="0017008A">
        <w:rPr>
          <w:rFonts w:ascii="Times New Roman" w:hAnsi="Times New Roman"/>
          <w:color w:val="454545"/>
          <w:shd w:val="clear" w:color="auto" w:fill="F0F5F2"/>
        </w:rPr>
        <w:t xml:space="preserve"> </w:t>
      </w:r>
      <w:r w:rsidR="00F67A71" w:rsidRPr="0017008A">
        <w:rPr>
          <w:rFonts w:ascii="Times New Roman" w:eastAsia="Times New Roman" w:hAnsi="Times New Roman"/>
          <w:bCs/>
        </w:rPr>
        <w:t>UA-2025-03-12-012392-a</w:t>
      </w:r>
    </w:p>
    <w:p w14:paraId="599AC868" w14:textId="61D627F3" w:rsidR="00F67A71" w:rsidRPr="0017008A" w:rsidRDefault="00F67A71" w:rsidP="0017008A">
      <w:pPr>
        <w:spacing w:after="0" w:line="240" w:lineRule="auto"/>
        <w:jc w:val="both"/>
        <w:rPr>
          <w:rFonts w:ascii="Times New Roman" w:hAnsi="Times New Roman"/>
          <w:b/>
        </w:rPr>
      </w:pPr>
      <w:hyperlink r:id="rId6" w:history="1">
        <w:r w:rsidRPr="0017008A">
          <w:rPr>
            <w:rStyle w:val="a4"/>
            <w:rFonts w:ascii="Times New Roman" w:hAnsi="Times New Roman"/>
            <w:b/>
          </w:rPr>
          <w:t>https://prozorro.gov.ua/tender/UA-2025-03-12-012392-a</w:t>
        </w:r>
      </w:hyperlink>
    </w:p>
    <w:p w14:paraId="55CA0C59" w14:textId="77777777" w:rsidR="00F67A71" w:rsidRPr="0017008A" w:rsidRDefault="00F67A71" w:rsidP="0017008A">
      <w:pPr>
        <w:spacing w:after="0" w:line="240" w:lineRule="auto"/>
        <w:jc w:val="both"/>
        <w:rPr>
          <w:rFonts w:ascii="Times New Roman" w:eastAsia="Times New Roman" w:hAnsi="Times New Roman"/>
          <w:b/>
        </w:rPr>
      </w:pPr>
    </w:p>
    <w:p w14:paraId="40DC15DA" w14:textId="6ABBB38F" w:rsidR="00F66DA0" w:rsidRPr="0017008A" w:rsidRDefault="00AE3490" w:rsidP="0017008A">
      <w:pPr>
        <w:spacing w:after="0" w:line="240" w:lineRule="auto"/>
        <w:jc w:val="both"/>
        <w:rPr>
          <w:rFonts w:ascii="Times New Roman" w:eastAsia="Times New Roman" w:hAnsi="Times New Roman"/>
        </w:rPr>
      </w:pPr>
      <w:r w:rsidRPr="0017008A">
        <w:rPr>
          <w:rFonts w:ascii="Times New Roman" w:eastAsia="Times New Roman" w:hAnsi="Times New Roman"/>
          <w:b/>
        </w:rPr>
        <w:t>Очікувана вартість та обґрунтування очікуваної вартості предмета закупівлі:</w:t>
      </w:r>
      <w:r w:rsidRPr="0017008A">
        <w:rPr>
          <w:rFonts w:ascii="Times New Roman" w:eastAsia="Times New Roman" w:hAnsi="Times New Roman"/>
        </w:rPr>
        <w:t xml:space="preserve"> </w:t>
      </w:r>
      <w:r w:rsidR="00F67A71" w:rsidRPr="0017008A">
        <w:rPr>
          <w:rFonts w:ascii="Times New Roman" w:eastAsia="Times New Roman" w:hAnsi="Times New Roman"/>
        </w:rPr>
        <w:t xml:space="preserve">1 951 670 </w:t>
      </w:r>
      <w:r w:rsidRPr="0017008A">
        <w:rPr>
          <w:rFonts w:ascii="Times New Roman" w:eastAsia="Times New Roman" w:hAnsi="Times New Roman"/>
        </w:rPr>
        <w:t>грн.</w:t>
      </w:r>
      <w:r w:rsidR="00747C4E" w:rsidRPr="0017008A">
        <w:rPr>
          <w:rFonts w:ascii="Times New Roman" w:eastAsia="Times New Roman" w:hAnsi="Times New Roman"/>
        </w:rPr>
        <w:t xml:space="preserve"> 00 коп. з ПДВ.</w:t>
      </w:r>
    </w:p>
    <w:p w14:paraId="563F26A2" w14:textId="28733F73" w:rsidR="00F66DA0" w:rsidRPr="006944DF" w:rsidRDefault="00747C4E" w:rsidP="0017008A">
      <w:pPr>
        <w:spacing w:after="0" w:line="240" w:lineRule="auto"/>
        <w:ind w:firstLine="720"/>
        <w:jc w:val="both"/>
        <w:rPr>
          <w:rFonts w:ascii="Times New Roman" w:eastAsia="Times New Roman" w:hAnsi="Times New Roman"/>
        </w:rPr>
      </w:pPr>
      <w:r w:rsidRPr="0017008A">
        <w:rPr>
          <w:rFonts w:ascii="Times New Roman" w:eastAsia="Times New Roman" w:hAnsi="Times New Roman"/>
        </w:rPr>
        <w:t>Розрахунок очікуваної вартості послуг здійснено відповідно до Примірної методики визначення очікуваної вартості предмета закупівлі, затвердженої наказом Мінекономіки від 18.02.2020 № 275, з урахуванням наданих розрахунків (комерційних пропозицій) потенційних постачальників, шляхом отримання трьох комерційних пропозицій у постачальників</w:t>
      </w:r>
      <w:r w:rsidR="00467350" w:rsidRPr="00467350">
        <w:rPr>
          <w:rFonts w:ascii="Times New Roman" w:eastAsia="Times New Roman" w:hAnsi="Times New Roman"/>
        </w:rPr>
        <w:t xml:space="preserve"> з урахуванням інформації, отриманої з Інтернет-ресурсів</w:t>
      </w:r>
      <w:r w:rsidR="006944DF" w:rsidRPr="006944DF">
        <w:rPr>
          <w:rFonts w:ascii="Times New Roman" w:eastAsia="Times New Roman" w:hAnsi="Times New Roman"/>
        </w:rPr>
        <w:t>.</w:t>
      </w:r>
    </w:p>
    <w:p w14:paraId="4FB9F7E8" w14:textId="77777777" w:rsidR="00F66DA0" w:rsidRPr="0017008A" w:rsidRDefault="00F66DA0" w:rsidP="0017008A">
      <w:pPr>
        <w:spacing w:after="0" w:line="240" w:lineRule="auto"/>
        <w:ind w:firstLine="720"/>
        <w:jc w:val="both"/>
        <w:rPr>
          <w:rFonts w:ascii="Times New Roman" w:eastAsia="Times New Roman" w:hAnsi="Times New Roman"/>
        </w:rPr>
      </w:pPr>
    </w:p>
    <w:p w14:paraId="2C685E11" w14:textId="2BAFD42D" w:rsidR="00F66DA0" w:rsidRPr="0017008A" w:rsidRDefault="00AE3490" w:rsidP="0017008A">
      <w:pPr>
        <w:spacing w:after="0" w:line="240" w:lineRule="auto"/>
        <w:jc w:val="both"/>
        <w:rPr>
          <w:rFonts w:ascii="Times New Roman" w:eastAsia="Times New Roman" w:hAnsi="Times New Roman"/>
          <w:b/>
        </w:rPr>
      </w:pPr>
      <w:r w:rsidRPr="0017008A">
        <w:rPr>
          <w:rFonts w:ascii="Times New Roman" w:eastAsia="Times New Roman" w:hAnsi="Times New Roman"/>
          <w:b/>
        </w:rPr>
        <w:t>Обґрунтування технічних, якісних характеристик.</w:t>
      </w:r>
    </w:p>
    <w:p w14:paraId="3FA3DE4D" w14:textId="77777777" w:rsidR="0017008A" w:rsidRPr="0017008A" w:rsidRDefault="0017008A" w:rsidP="0017008A">
      <w:pPr>
        <w:pStyle w:val="1"/>
        <w:numPr>
          <w:ilvl w:val="0"/>
          <w:numId w:val="0"/>
        </w:numPr>
        <w:ind w:right="0"/>
        <w:rPr>
          <w:sz w:val="22"/>
          <w:szCs w:val="22"/>
          <w:lang w:eastAsia="uk-UA"/>
        </w:rPr>
      </w:pPr>
      <w:bookmarkStart w:id="1" w:name="_heading=h.uw0vd9bkb1ra" w:colFirst="0" w:colLast="0"/>
      <w:bookmarkStart w:id="2" w:name="_heading=h.3xq18ew4dvl7" w:colFirst="0" w:colLast="0"/>
      <w:bookmarkEnd w:id="1"/>
      <w:bookmarkEnd w:id="2"/>
    </w:p>
    <w:p w14:paraId="51D5E4AB" w14:textId="54B36B5A" w:rsidR="0017008A" w:rsidRPr="0017008A" w:rsidRDefault="0017008A" w:rsidP="0017008A">
      <w:pPr>
        <w:pStyle w:val="1"/>
        <w:numPr>
          <w:ilvl w:val="0"/>
          <w:numId w:val="0"/>
        </w:numPr>
        <w:ind w:right="0" w:firstLine="709"/>
        <w:rPr>
          <w:sz w:val="22"/>
          <w:szCs w:val="22"/>
          <w:lang w:eastAsia="uk-UA"/>
        </w:rPr>
      </w:pPr>
      <w:r w:rsidRPr="0017008A">
        <w:rPr>
          <w:sz w:val="22"/>
          <w:szCs w:val="22"/>
          <w:lang w:eastAsia="uk-UA"/>
        </w:rPr>
        <w:t>Запропонований учасником товар повинен відповідати вимогам діючих норм та стандартів, а саме:</w:t>
      </w:r>
    </w:p>
    <w:p w14:paraId="15B24CD7" w14:textId="2BDA50C2" w:rsidR="0017008A" w:rsidRPr="0017008A" w:rsidRDefault="0017008A" w:rsidP="0017008A">
      <w:pPr>
        <w:pStyle w:val="1"/>
        <w:numPr>
          <w:ilvl w:val="0"/>
          <w:numId w:val="4"/>
        </w:numPr>
        <w:tabs>
          <w:tab w:val="clear" w:pos="360"/>
          <w:tab w:val="clear" w:pos="567"/>
          <w:tab w:val="clear" w:pos="709"/>
        </w:tabs>
        <w:ind w:left="0" w:right="0" w:firstLine="426"/>
        <w:rPr>
          <w:sz w:val="22"/>
          <w:szCs w:val="22"/>
          <w:lang w:eastAsia="uk-UA"/>
        </w:rPr>
      </w:pPr>
      <w:r w:rsidRPr="0017008A">
        <w:rPr>
          <w:sz w:val="22"/>
          <w:szCs w:val="22"/>
          <w:lang w:eastAsia="uk-UA"/>
        </w:rPr>
        <w:t>Технічному регламенту щодо вимог до автомобільних бензинів, дизельного, суднових та котельних палив та ДСТУ 7687:2015 «Бензини автомобільні Євро. Технічні умови»,</w:t>
      </w:r>
    </w:p>
    <w:p w14:paraId="2B0887E8" w14:textId="7158DD98" w:rsidR="0017008A" w:rsidRPr="0017008A" w:rsidRDefault="0017008A" w:rsidP="0017008A">
      <w:pPr>
        <w:pStyle w:val="1"/>
        <w:numPr>
          <w:ilvl w:val="0"/>
          <w:numId w:val="4"/>
        </w:numPr>
        <w:tabs>
          <w:tab w:val="clear" w:pos="360"/>
          <w:tab w:val="clear" w:pos="567"/>
          <w:tab w:val="clear" w:pos="709"/>
        </w:tabs>
        <w:ind w:left="0" w:right="0" w:firstLine="426"/>
        <w:rPr>
          <w:sz w:val="22"/>
          <w:szCs w:val="22"/>
          <w:lang w:eastAsia="uk-UA"/>
        </w:rPr>
      </w:pPr>
      <w:r w:rsidRPr="0017008A">
        <w:rPr>
          <w:sz w:val="22"/>
          <w:szCs w:val="22"/>
          <w:lang w:eastAsia="uk-UA"/>
        </w:rPr>
        <w:t>Технічному регламенту щодо вимог до автомобільних бензинів, дизельного, суднових та котельних палив та  ДСТУ 7688:2015 «Паливо дизельне Євро. Технічні умови».</w:t>
      </w:r>
    </w:p>
    <w:p w14:paraId="10AB0D09" w14:textId="77777777" w:rsidR="0017008A" w:rsidRPr="0017008A" w:rsidRDefault="0017008A" w:rsidP="0017008A">
      <w:pPr>
        <w:pStyle w:val="1"/>
        <w:numPr>
          <w:ilvl w:val="0"/>
          <w:numId w:val="0"/>
        </w:numPr>
        <w:tabs>
          <w:tab w:val="clear" w:pos="709"/>
          <w:tab w:val="left" w:pos="284"/>
        </w:tabs>
        <w:ind w:right="0"/>
        <w:rPr>
          <w:sz w:val="22"/>
          <w:szCs w:val="22"/>
          <w:lang w:eastAsia="uk-UA"/>
        </w:rPr>
      </w:pPr>
    </w:p>
    <w:p w14:paraId="06ABE577" w14:textId="1EA91BE6" w:rsidR="0017008A" w:rsidRDefault="0017008A" w:rsidP="0017008A">
      <w:pPr>
        <w:pStyle w:val="1"/>
        <w:numPr>
          <w:ilvl w:val="0"/>
          <w:numId w:val="0"/>
        </w:numPr>
        <w:tabs>
          <w:tab w:val="clear" w:pos="709"/>
          <w:tab w:val="left" w:pos="284"/>
        </w:tabs>
        <w:ind w:right="0" w:firstLine="709"/>
        <w:rPr>
          <w:sz w:val="22"/>
          <w:szCs w:val="22"/>
          <w:lang w:eastAsia="uk-UA"/>
        </w:rPr>
      </w:pPr>
      <w:r w:rsidRPr="0017008A">
        <w:rPr>
          <w:sz w:val="22"/>
          <w:szCs w:val="22"/>
          <w:lang w:eastAsia="uk-UA"/>
        </w:rPr>
        <w:t>Відпуск нафтопродуктів Замовнику має здійснюватися в літрах по паливних картах, смарт-картах цілодобово без вихідних.</w:t>
      </w:r>
    </w:p>
    <w:p w14:paraId="58A00FAF" w14:textId="77777777" w:rsidR="00467350" w:rsidRPr="0017008A" w:rsidRDefault="00467350" w:rsidP="00467350">
      <w:pPr>
        <w:pStyle w:val="1"/>
        <w:numPr>
          <w:ilvl w:val="0"/>
          <w:numId w:val="0"/>
        </w:numPr>
        <w:tabs>
          <w:tab w:val="clear" w:pos="709"/>
          <w:tab w:val="left" w:pos="284"/>
        </w:tabs>
        <w:ind w:right="0" w:firstLine="284"/>
        <w:rPr>
          <w:sz w:val="22"/>
          <w:szCs w:val="22"/>
          <w:lang w:eastAsia="uk-UA"/>
        </w:rPr>
      </w:pPr>
    </w:p>
    <w:p w14:paraId="763A0512" w14:textId="77777777" w:rsidR="0017008A" w:rsidRPr="0017008A" w:rsidRDefault="0017008A" w:rsidP="00467350">
      <w:pPr>
        <w:pStyle w:val="1"/>
        <w:numPr>
          <w:ilvl w:val="0"/>
          <w:numId w:val="0"/>
        </w:numPr>
        <w:tabs>
          <w:tab w:val="clear" w:pos="709"/>
          <w:tab w:val="left" w:pos="284"/>
        </w:tabs>
        <w:ind w:right="0"/>
        <w:rPr>
          <w:sz w:val="22"/>
          <w:szCs w:val="22"/>
          <w:lang w:eastAsia="uk-UA"/>
        </w:rPr>
      </w:pPr>
      <w:r w:rsidRPr="0017008A">
        <w:rPr>
          <w:b/>
          <w:sz w:val="22"/>
          <w:szCs w:val="22"/>
          <w:lang w:eastAsia="uk-UA"/>
        </w:rPr>
        <w:t>Місце поставки</w:t>
      </w:r>
      <w:r w:rsidRPr="0017008A">
        <w:rPr>
          <w:sz w:val="22"/>
          <w:szCs w:val="22"/>
          <w:lang w:eastAsia="uk-UA"/>
        </w:rPr>
        <w:t xml:space="preserve"> – територія України. АЗС Учасника, мають знаходиться в населених пунктах м. Київ, м. </w:t>
      </w:r>
      <w:proofErr w:type="spellStart"/>
      <w:r w:rsidRPr="0017008A">
        <w:rPr>
          <w:sz w:val="22"/>
          <w:szCs w:val="22"/>
          <w:lang w:eastAsia="uk-UA"/>
        </w:rPr>
        <w:t>Боріспіль</w:t>
      </w:r>
      <w:proofErr w:type="spellEnd"/>
      <w:r w:rsidRPr="0017008A">
        <w:rPr>
          <w:sz w:val="22"/>
          <w:szCs w:val="22"/>
          <w:lang w:eastAsia="uk-UA"/>
        </w:rPr>
        <w:t xml:space="preserve">, м. Бровари, м. Біла Церква, м. Фастів, м. Вінниця, м. Кропивницький, м. Южноукраїнськ, м. Южне, м. Одеса, м. Миколаїв, м. Дніпро, м. Запоріжжя, м. Рівне, м. Чернігів, м. Полтава, м. Харків м. Житомир, м. Хмельницький, м. Чернівці, м. Львів, м. Івано-Франківськ, м. Ужгород, м. Біла Церква та/або на відстані не більше 15 км по автомобільних дорогах від них. </w:t>
      </w:r>
    </w:p>
    <w:p w14:paraId="7671B1EE" w14:textId="2EF165E6" w:rsidR="0017008A" w:rsidRPr="0017008A" w:rsidRDefault="0017008A" w:rsidP="0017008A">
      <w:pPr>
        <w:pStyle w:val="1"/>
        <w:numPr>
          <w:ilvl w:val="0"/>
          <w:numId w:val="0"/>
        </w:numPr>
        <w:tabs>
          <w:tab w:val="clear" w:pos="709"/>
          <w:tab w:val="left" w:pos="284"/>
        </w:tabs>
        <w:ind w:right="0" w:firstLine="709"/>
        <w:rPr>
          <w:sz w:val="22"/>
          <w:szCs w:val="22"/>
          <w:lang w:eastAsia="uk-UA"/>
        </w:rPr>
      </w:pPr>
      <w:r w:rsidRPr="0017008A">
        <w:rPr>
          <w:sz w:val="22"/>
          <w:szCs w:val="22"/>
          <w:lang w:eastAsia="uk-UA"/>
        </w:rPr>
        <w:t>В містах Вишгород, Бориспіль, Київ, Луцьк, Львів обов’язкова наявність не менше 2-х АЗС.</w:t>
      </w:r>
    </w:p>
    <w:p w14:paraId="7DDEE53E" w14:textId="77777777" w:rsidR="0017008A" w:rsidRPr="0017008A" w:rsidRDefault="0017008A" w:rsidP="0017008A">
      <w:pPr>
        <w:pStyle w:val="1"/>
        <w:numPr>
          <w:ilvl w:val="0"/>
          <w:numId w:val="0"/>
        </w:numPr>
        <w:tabs>
          <w:tab w:val="clear" w:pos="709"/>
          <w:tab w:val="left" w:pos="284"/>
        </w:tabs>
        <w:ind w:right="0" w:firstLine="709"/>
        <w:rPr>
          <w:sz w:val="22"/>
          <w:szCs w:val="22"/>
          <w:lang w:eastAsia="uk-UA"/>
        </w:rPr>
      </w:pPr>
    </w:p>
    <w:p w14:paraId="02C3E370" w14:textId="77777777" w:rsidR="0017008A" w:rsidRPr="0017008A" w:rsidRDefault="0017008A" w:rsidP="00467350">
      <w:pPr>
        <w:pStyle w:val="1"/>
        <w:numPr>
          <w:ilvl w:val="0"/>
          <w:numId w:val="0"/>
        </w:numPr>
        <w:tabs>
          <w:tab w:val="clear" w:pos="360"/>
          <w:tab w:val="clear" w:pos="709"/>
          <w:tab w:val="left" w:pos="284"/>
        </w:tabs>
        <w:spacing w:after="120"/>
        <w:ind w:right="261"/>
        <w:rPr>
          <w:b/>
          <w:bCs/>
          <w:color w:val="000000" w:themeColor="text1"/>
          <w:sz w:val="22"/>
          <w:szCs w:val="22"/>
          <w:shd w:val="clear" w:color="auto" w:fill="FFFFFF"/>
        </w:rPr>
      </w:pPr>
      <w:r w:rsidRPr="0017008A">
        <w:rPr>
          <w:b/>
          <w:bCs/>
          <w:color w:val="000000" w:themeColor="text1"/>
          <w:sz w:val="22"/>
          <w:szCs w:val="22"/>
          <w:shd w:val="clear" w:color="auto" w:fill="FFFFFF"/>
        </w:rPr>
        <w:t>Кількісні та якісні вимоги до предмету закупівлі</w:t>
      </w:r>
    </w:p>
    <w:tbl>
      <w:tblPr>
        <w:tblStyle w:val="ad"/>
        <w:tblW w:w="5000" w:type="pct"/>
        <w:tblLook w:val="04A0" w:firstRow="1" w:lastRow="0" w:firstColumn="1" w:lastColumn="0" w:noHBand="0" w:noVBand="1"/>
      </w:tblPr>
      <w:tblGrid>
        <w:gridCol w:w="528"/>
        <w:gridCol w:w="1862"/>
        <w:gridCol w:w="4836"/>
        <w:gridCol w:w="1221"/>
        <w:gridCol w:w="1182"/>
      </w:tblGrid>
      <w:tr w:rsidR="0017008A" w:rsidRPr="0017008A" w14:paraId="667DF9B2" w14:textId="77777777" w:rsidTr="00114309">
        <w:trPr>
          <w:trHeight w:val="647"/>
        </w:trPr>
        <w:tc>
          <w:tcPr>
            <w:tcW w:w="274" w:type="pct"/>
          </w:tcPr>
          <w:p w14:paraId="2FF8E96D" w14:textId="77777777" w:rsidR="0017008A" w:rsidRPr="0017008A" w:rsidRDefault="0017008A" w:rsidP="0017008A">
            <w:pPr>
              <w:contextualSpacing/>
              <w:jc w:val="both"/>
              <w:rPr>
                <w:rFonts w:ascii="Times New Roman" w:hAnsi="Times New Roman"/>
                <w:color w:val="000000" w:themeColor="text1"/>
                <w:lang w:val="uk-UA" w:eastAsia="uk-UA"/>
              </w:rPr>
            </w:pPr>
          </w:p>
          <w:p w14:paraId="7B1FB4BE" w14:textId="77777777" w:rsidR="0017008A" w:rsidRPr="0017008A" w:rsidRDefault="0017008A" w:rsidP="0017008A">
            <w:pPr>
              <w:contextualSpacing/>
              <w:jc w:val="both"/>
              <w:rPr>
                <w:rFonts w:ascii="Times New Roman" w:hAnsi="Times New Roman"/>
                <w:color w:val="000000" w:themeColor="text1"/>
                <w:lang w:val="uk-UA" w:eastAsia="uk-UA"/>
              </w:rPr>
            </w:pPr>
            <w:r w:rsidRPr="0017008A">
              <w:rPr>
                <w:rFonts w:ascii="Times New Roman" w:hAnsi="Times New Roman"/>
                <w:color w:val="000000" w:themeColor="text1"/>
                <w:lang w:val="uk-UA" w:eastAsia="uk-UA"/>
              </w:rPr>
              <w:t>№ з/п</w:t>
            </w:r>
          </w:p>
        </w:tc>
        <w:tc>
          <w:tcPr>
            <w:tcW w:w="967" w:type="pct"/>
          </w:tcPr>
          <w:p w14:paraId="0A65CC12" w14:textId="77777777" w:rsidR="0017008A" w:rsidRPr="0017008A" w:rsidRDefault="0017008A" w:rsidP="0017008A">
            <w:pPr>
              <w:ind w:firstLine="22"/>
              <w:contextualSpacing/>
              <w:jc w:val="both"/>
              <w:rPr>
                <w:rFonts w:ascii="Times New Roman" w:hAnsi="Times New Roman"/>
                <w:color w:val="000000" w:themeColor="text1"/>
                <w:lang w:val="uk-UA" w:eastAsia="uk-UA"/>
              </w:rPr>
            </w:pPr>
            <w:r w:rsidRPr="0017008A">
              <w:rPr>
                <w:rFonts w:ascii="Times New Roman" w:hAnsi="Times New Roman"/>
                <w:color w:val="000000" w:themeColor="text1"/>
                <w:lang w:val="uk-UA" w:eastAsia="uk-UA"/>
              </w:rPr>
              <w:t>Найменування товару</w:t>
            </w:r>
          </w:p>
        </w:tc>
        <w:tc>
          <w:tcPr>
            <w:tcW w:w="2511" w:type="pct"/>
          </w:tcPr>
          <w:p w14:paraId="7E528981" w14:textId="77777777" w:rsidR="0017008A" w:rsidRPr="0017008A" w:rsidRDefault="0017008A" w:rsidP="0017008A">
            <w:pPr>
              <w:contextualSpacing/>
              <w:jc w:val="both"/>
              <w:rPr>
                <w:rFonts w:ascii="Times New Roman" w:hAnsi="Times New Roman"/>
                <w:color w:val="000000" w:themeColor="text1"/>
                <w:lang w:val="uk-UA" w:eastAsia="uk-UA"/>
              </w:rPr>
            </w:pPr>
            <w:r w:rsidRPr="0017008A">
              <w:rPr>
                <w:rFonts w:ascii="Times New Roman" w:hAnsi="Times New Roman"/>
                <w:color w:val="000000" w:themeColor="text1"/>
                <w:lang w:val="uk-UA" w:eastAsia="uk-UA"/>
              </w:rPr>
              <w:t>Технічні та якісні характеристики</w:t>
            </w:r>
          </w:p>
        </w:tc>
        <w:tc>
          <w:tcPr>
            <w:tcW w:w="634" w:type="pct"/>
          </w:tcPr>
          <w:p w14:paraId="3F721831" w14:textId="77777777" w:rsidR="0017008A" w:rsidRPr="0017008A" w:rsidRDefault="0017008A" w:rsidP="0017008A">
            <w:pPr>
              <w:ind w:hanging="14"/>
              <w:contextualSpacing/>
              <w:jc w:val="both"/>
              <w:rPr>
                <w:rFonts w:ascii="Times New Roman" w:hAnsi="Times New Roman"/>
                <w:color w:val="000000" w:themeColor="text1"/>
                <w:lang w:val="uk-UA" w:eastAsia="uk-UA"/>
              </w:rPr>
            </w:pPr>
            <w:r w:rsidRPr="0017008A">
              <w:rPr>
                <w:rFonts w:ascii="Times New Roman" w:hAnsi="Times New Roman"/>
                <w:color w:val="000000" w:themeColor="text1"/>
                <w:lang w:val="uk-UA" w:eastAsia="uk-UA"/>
              </w:rPr>
              <w:t>Одиниця виміру</w:t>
            </w:r>
          </w:p>
        </w:tc>
        <w:tc>
          <w:tcPr>
            <w:tcW w:w="615" w:type="pct"/>
          </w:tcPr>
          <w:p w14:paraId="1716F33C" w14:textId="77777777" w:rsidR="0017008A" w:rsidRPr="0017008A" w:rsidRDefault="0017008A" w:rsidP="0017008A">
            <w:pPr>
              <w:ind w:firstLine="7"/>
              <w:contextualSpacing/>
              <w:jc w:val="both"/>
              <w:rPr>
                <w:rFonts w:ascii="Times New Roman" w:hAnsi="Times New Roman"/>
                <w:color w:val="000000" w:themeColor="text1"/>
                <w:lang w:val="uk-UA" w:eastAsia="uk-UA"/>
              </w:rPr>
            </w:pPr>
            <w:r w:rsidRPr="0017008A">
              <w:rPr>
                <w:rFonts w:ascii="Times New Roman" w:hAnsi="Times New Roman"/>
                <w:color w:val="000000" w:themeColor="text1"/>
                <w:lang w:val="uk-UA" w:eastAsia="uk-UA"/>
              </w:rPr>
              <w:t>Кількість</w:t>
            </w:r>
          </w:p>
        </w:tc>
      </w:tr>
      <w:tr w:rsidR="0017008A" w:rsidRPr="0017008A" w14:paraId="6EC16A03" w14:textId="77777777" w:rsidTr="00114309">
        <w:tc>
          <w:tcPr>
            <w:tcW w:w="274" w:type="pct"/>
          </w:tcPr>
          <w:p w14:paraId="09E104A6" w14:textId="77777777" w:rsidR="0017008A" w:rsidRPr="0017008A" w:rsidRDefault="0017008A" w:rsidP="0017008A">
            <w:pPr>
              <w:tabs>
                <w:tab w:val="center" w:pos="641"/>
              </w:tabs>
              <w:contextualSpacing/>
              <w:jc w:val="both"/>
              <w:rPr>
                <w:rFonts w:ascii="Times New Roman" w:hAnsi="Times New Roman"/>
                <w:color w:val="000000" w:themeColor="text1"/>
                <w:lang w:val="uk-UA" w:eastAsia="uk-UA"/>
              </w:rPr>
            </w:pPr>
            <w:r w:rsidRPr="0017008A">
              <w:rPr>
                <w:rFonts w:ascii="Times New Roman" w:hAnsi="Times New Roman"/>
                <w:color w:val="000000" w:themeColor="text1"/>
                <w:lang w:val="uk-UA" w:eastAsia="uk-UA"/>
              </w:rPr>
              <w:t>1.</w:t>
            </w:r>
          </w:p>
        </w:tc>
        <w:tc>
          <w:tcPr>
            <w:tcW w:w="967" w:type="pct"/>
            <w:vAlign w:val="center"/>
          </w:tcPr>
          <w:p w14:paraId="187C05C3" w14:textId="77777777" w:rsidR="0017008A" w:rsidRPr="0017008A" w:rsidRDefault="0017008A" w:rsidP="0017008A">
            <w:pPr>
              <w:keepNext/>
              <w:tabs>
                <w:tab w:val="left" w:pos="3960"/>
              </w:tabs>
              <w:contextualSpacing/>
              <w:jc w:val="both"/>
              <w:outlineLvl w:val="0"/>
              <w:rPr>
                <w:rFonts w:ascii="Times New Roman" w:hAnsi="Times New Roman"/>
                <w:color w:val="000000" w:themeColor="text1"/>
                <w:lang w:val="uk-UA"/>
              </w:rPr>
            </w:pPr>
            <w:r w:rsidRPr="0017008A">
              <w:rPr>
                <w:rFonts w:ascii="Times New Roman" w:hAnsi="Times New Roman"/>
                <w:color w:val="000000" w:themeColor="text1"/>
              </w:rPr>
              <w:t>Бензин А-95</w:t>
            </w:r>
          </w:p>
        </w:tc>
        <w:tc>
          <w:tcPr>
            <w:tcW w:w="2511" w:type="pct"/>
            <w:vAlign w:val="bottom"/>
          </w:tcPr>
          <w:p w14:paraId="68F5B8D1" w14:textId="77777777" w:rsidR="0017008A" w:rsidRPr="0017008A" w:rsidRDefault="0017008A" w:rsidP="0017008A">
            <w:pPr>
              <w:contextualSpacing/>
              <w:jc w:val="both"/>
              <w:rPr>
                <w:rFonts w:ascii="Times New Roman" w:hAnsi="Times New Roman"/>
                <w:color w:val="000000" w:themeColor="text1"/>
                <w:lang w:val="uk-UA"/>
              </w:rPr>
            </w:pPr>
            <w:r w:rsidRPr="0017008A">
              <w:rPr>
                <w:rFonts w:ascii="Times New Roman" w:hAnsi="Times New Roman"/>
                <w:color w:val="000000" w:themeColor="text1"/>
                <w:lang w:val="uk-UA"/>
              </w:rPr>
              <w:t xml:space="preserve">Відповідає вимогам Технічного регламенту щодо вимог до автомобільних бензинів, дизельного, суднових та котельних палив та/або ДСТУ </w:t>
            </w:r>
            <w:r w:rsidRPr="0017008A">
              <w:rPr>
                <w:rFonts w:ascii="Times New Roman" w:hAnsi="Times New Roman"/>
                <w:color w:val="000000" w:themeColor="text1"/>
                <w:lang w:val="uk-UA"/>
              </w:rPr>
              <w:lastRenderedPageBreak/>
              <w:t>7687:2015 «Бензини автомобільні Євро. Технічні умови»</w:t>
            </w:r>
          </w:p>
        </w:tc>
        <w:tc>
          <w:tcPr>
            <w:tcW w:w="634" w:type="pct"/>
          </w:tcPr>
          <w:p w14:paraId="35C025DC" w14:textId="77777777" w:rsidR="0017008A" w:rsidRPr="0017008A" w:rsidRDefault="0017008A" w:rsidP="0017008A">
            <w:pPr>
              <w:contextualSpacing/>
              <w:jc w:val="both"/>
              <w:rPr>
                <w:rFonts w:ascii="Times New Roman" w:hAnsi="Times New Roman"/>
                <w:color w:val="000000" w:themeColor="text1"/>
                <w:lang w:val="uk-UA"/>
              </w:rPr>
            </w:pPr>
            <w:r w:rsidRPr="0017008A">
              <w:rPr>
                <w:rFonts w:ascii="Times New Roman" w:hAnsi="Times New Roman"/>
                <w:color w:val="000000" w:themeColor="text1"/>
                <w:lang w:val="uk-UA"/>
              </w:rPr>
              <w:lastRenderedPageBreak/>
              <w:t>л</w:t>
            </w:r>
          </w:p>
        </w:tc>
        <w:tc>
          <w:tcPr>
            <w:tcW w:w="615" w:type="pct"/>
          </w:tcPr>
          <w:p w14:paraId="27792D09" w14:textId="1D13E0F0" w:rsidR="0017008A" w:rsidRPr="0017008A" w:rsidRDefault="0017008A" w:rsidP="0017008A">
            <w:pPr>
              <w:contextualSpacing/>
              <w:jc w:val="both"/>
              <w:rPr>
                <w:rFonts w:ascii="Times New Roman" w:hAnsi="Times New Roman"/>
                <w:color w:val="000000" w:themeColor="text1"/>
                <w:lang w:val="en-US"/>
              </w:rPr>
            </w:pPr>
            <w:r w:rsidRPr="0017008A">
              <w:rPr>
                <w:rFonts w:ascii="Times New Roman" w:hAnsi="Times New Roman"/>
                <w:color w:val="000000" w:themeColor="text1"/>
                <w:lang w:val="en-US"/>
              </w:rPr>
              <w:t>5</w:t>
            </w:r>
            <w:r w:rsidR="00467350">
              <w:rPr>
                <w:rFonts w:ascii="Times New Roman" w:hAnsi="Times New Roman"/>
                <w:color w:val="000000" w:themeColor="text1"/>
                <w:lang w:val="uk-UA"/>
              </w:rPr>
              <w:t xml:space="preserve"> </w:t>
            </w:r>
            <w:r w:rsidRPr="0017008A">
              <w:rPr>
                <w:rFonts w:ascii="Times New Roman" w:hAnsi="Times New Roman"/>
                <w:color w:val="000000" w:themeColor="text1"/>
                <w:lang w:val="en-US"/>
              </w:rPr>
              <w:t>000</w:t>
            </w:r>
          </w:p>
        </w:tc>
      </w:tr>
      <w:tr w:rsidR="0017008A" w:rsidRPr="0017008A" w14:paraId="1DDBC813" w14:textId="77777777" w:rsidTr="00114309">
        <w:tc>
          <w:tcPr>
            <w:tcW w:w="274" w:type="pct"/>
          </w:tcPr>
          <w:p w14:paraId="0D0CFAB1" w14:textId="77777777" w:rsidR="0017008A" w:rsidRPr="0017008A" w:rsidRDefault="0017008A" w:rsidP="0017008A">
            <w:pPr>
              <w:tabs>
                <w:tab w:val="center" w:pos="641"/>
              </w:tabs>
              <w:contextualSpacing/>
              <w:jc w:val="both"/>
              <w:rPr>
                <w:rFonts w:ascii="Times New Roman" w:hAnsi="Times New Roman"/>
                <w:color w:val="000000" w:themeColor="text1"/>
                <w:lang w:val="uk-UA" w:eastAsia="uk-UA"/>
              </w:rPr>
            </w:pPr>
            <w:r w:rsidRPr="0017008A">
              <w:rPr>
                <w:rFonts w:ascii="Times New Roman" w:hAnsi="Times New Roman"/>
                <w:color w:val="000000" w:themeColor="text1"/>
                <w:lang w:val="uk-UA" w:eastAsia="uk-UA"/>
              </w:rPr>
              <w:t>2.</w:t>
            </w:r>
          </w:p>
        </w:tc>
        <w:tc>
          <w:tcPr>
            <w:tcW w:w="967" w:type="pct"/>
            <w:vAlign w:val="center"/>
          </w:tcPr>
          <w:p w14:paraId="45FA06AE" w14:textId="77777777" w:rsidR="0017008A" w:rsidRPr="0017008A" w:rsidRDefault="0017008A" w:rsidP="0017008A">
            <w:pPr>
              <w:keepNext/>
              <w:tabs>
                <w:tab w:val="left" w:pos="3960"/>
              </w:tabs>
              <w:contextualSpacing/>
              <w:jc w:val="both"/>
              <w:outlineLvl w:val="0"/>
              <w:rPr>
                <w:rFonts w:ascii="Times New Roman" w:hAnsi="Times New Roman"/>
                <w:color w:val="000000" w:themeColor="text1"/>
                <w:lang w:val="uk-UA"/>
              </w:rPr>
            </w:pPr>
            <w:proofErr w:type="spellStart"/>
            <w:r w:rsidRPr="0017008A">
              <w:rPr>
                <w:rFonts w:ascii="Times New Roman" w:hAnsi="Times New Roman"/>
                <w:color w:val="000000" w:themeColor="text1"/>
              </w:rPr>
              <w:t>Дизельне</w:t>
            </w:r>
            <w:proofErr w:type="spellEnd"/>
            <w:r w:rsidRPr="0017008A">
              <w:rPr>
                <w:rFonts w:ascii="Times New Roman" w:hAnsi="Times New Roman"/>
                <w:color w:val="000000" w:themeColor="text1"/>
              </w:rPr>
              <w:t xml:space="preserve"> </w:t>
            </w:r>
            <w:proofErr w:type="spellStart"/>
            <w:r w:rsidRPr="0017008A">
              <w:rPr>
                <w:rFonts w:ascii="Times New Roman" w:hAnsi="Times New Roman"/>
                <w:color w:val="000000" w:themeColor="text1"/>
              </w:rPr>
              <w:t>паливо</w:t>
            </w:r>
            <w:proofErr w:type="spellEnd"/>
            <w:r w:rsidRPr="0017008A">
              <w:rPr>
                <w:rFonts w:ascii="Times New Roman" w:hAnsi="Times New Roman"/>
                <w:color w:val="000000" w:themeColor="text1"/>
              </w:rPr>
              <w:t xml:space="preserve"> </w:t>
            </w:r>
          </w:p>
        </w:tc>
        <w:tc>
          <w:tcPr>
            <w:tcW w:w="2511" w:type="pct"/>
            <w:vAlign w:val="bottom"/>
          </w:tcPr>
          <w:p w14:paraId="23DF2BC3" w14:textId="77777777" w:rsidR="0017008A" w:rsidRPr="0017008A" w:rsidRDefault="0017008A" w:rsidP="0017008A">
            <w:pPr>
              <w:contextualSpacing/>
              <w:jc w:val="both"/>
              <w:rPr>
                <w:rFonts w:ascii="Times New Roman" w:hAnsi="Times New Roman"/>
                <w:color w:val="000000" w:themeColor="text1"/>
                <w:lang w:val="uk-UA"/>
              </w:rPr>
            </w:pPr>
            <w:r w:rsidRPr="0017008A">
              <w:rPr>
                <w:rFonts w:ascii="Times New Roman" w:hAnsi="Times New Roman"/>
                <w:color w:val="000000" w:themeColor="text1"/>
                <w:lang w:val="uk-UA"/>
              </w:rPr>
              <w:t>Відповідає вимогам Технічного регламенту щодо вимог до автомобільних бензинів, дизельного, суднових та котельних палив та/або  ДСТУ 7688:2015 «Паливо дизельне Євро. Технічні умови»</w:t>
            </w:r>
          </w:p>
        </w:tc>
        <w:tc>
          <w:tcPr>
            <w:tcW w:w="634" w:type="pct"/>
          </w:tcPr>
          <w:p w14:paraId="439E968E" w14:textId="77777777" w:rsidR="0017008A" w:rsidRPr="0017008A" w:rsidRDefault="0017008A" w:rsidP="0017008A">
            <w:pPr>
              <w:contextualSpacing/>
              <w:jc w:val="both"/>
              <w:rPr>
                <w:rFonts w:ascii="Times New Roman" w:hAnsi="Times New Roman"/>
                <w:color w:val="000000" w:themeColor="text1"/>
                <w:lang w:val="uk-UA"/>
              </w:rPr>
            </w:pPr>
            <w:r w:rsidRPr="0017008A">
              <w:rPr>
                <w:rFonts w:ascii="Times New Roman" w:hAnsi="Times New Roman"/>
                <w:color w:val="000000" w:themeColor="text1"/>
                <w:lang w:val="uk-UA"/>
              </w:rPr>
              <w:t>л</w:t>
            </w:r>
          </w:p>
        </w:tc>
        <w:tc>
          <w:tcPr>
            <w:tcW w:w="615" w:type="pct"/>
          </w:tcPr>
          <w:p w14:paraId="3602A0B3" w14:textId="77777777" w:rsidR="0017008A" w:rsidRPr="0017008A" w:rsidRDefault="0017008A" w:rsidP="0017008A">
            <w:pPr>
              <w:contextualSpacing/>
              <w:jc w:val="both"/>
              <w:rPr>
                <w:rFonts w:ascii="Times New Roman" w:hAnsi="Times New Roman"/>
                <w:color w:val="000000" w:themeColor="text1"/>
              </w:rPr>
            </w:pPr>
            <w:r w:rsidRPr="0017008A">
              <w:rPr>
                <w:rFonts w:ascii="Times New Roman" w:hAnsi="Times New Roman"/>
                <w:color w:val="000000" w:themeColor="text1"/>
              </w:rPr>
              <w:t>28 000</w:t>
            </w:r>
          </w:p>
        </w:tc>
      </w:tr>
    </w:tbl>
    <w:p w14:paraId="1CA6CB2E" w14:textId="45CD6DAA" w:rsidR="00F67A71" w:rsidRDefault="00F67A71" w:rsidP="0017008A">
      <w:pPr>
        <w:spacing w:after="0" w:line="240" w:lineRule="auto"/>
        <w:ind w:firstLine="720"/>
        <w:jc w:val="both"/>
        <w:rPr>
          <w:rFonts w:ascii="Times New Roman" w:eastAsia="Times New Roman" w:hAnsi="Times New Roman"/>
        </w:rPr>
      </w:pPr>
    </w:p>
    <w:sectPr w:rsidR="00F67A71" w:rsidSect="002B6208">
      <w:pgSz w:w="11906" w:h="16838"/>
      <w:pgMar w:top="568"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785E"/>
    <w:multiLevelType w:val="hybridMultilevel"/>
    <w:tmpl w:val="E9E0B7A0"/>
    <w:lvl w:ilvl="0" w:tplc="9202FF8A">
      <w:numFmt w:val="bullet"/>
      <w:lvlText w:val="-"/>
      <w:lvlJc w:val="left"/>
      <w:pPr>
        <w:ind w:left="1080" w:hanging="360"/>
      </w:pPr>
      <w:rPr>
        <w:rFonts w:ascii="Calibri" w:eastAsia="Times New Roman"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32A524BB"/>
    <w:multiLevelType w:val="multilevel"/>
    <w:tmpl w:val="E17AB79A"/>
    <w:lvl w:ilvl="0">
      <w:start w:val="1"/>
      <w:numFmt w:val="decimal"/>
      <w:lvlText w:val="%1."/>
      <w:lvlJc w:val="left"/>
      <w:pPr>
        <w:ind w:left="720" w:hanging="360"/>
      </w:pPr>
    </w:lvl>
    <w:lvl w:ilvl="1">
      <w:start w:val="1"/>
      <w:numFmt w:val="decimal"/>
      <w:pStyle w:val="1"/>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194D19"/>
    <w:multiLevelType w:val="multilevel"/>
    <w:tmpl w:val="DF7E6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AF17F9"/>
    <w:multiLevelType w:val="hybridMultilevel"/>
    <w:tmpl w:val="E496D548"/>
    <w:lvl w:ilvl="0" w:tplc="60040138">
      <w:start w:val="1"/>
      <w:numFmt w:val="bullet"/>
      <w:lvlText w:val="-"/>
      <w:lvlJc w:val="left"/>
      <w:pPr>
        <w:ind w:left="780" w:hanging="360"/>
      </w:pPr>
      <w:rPr>
        <w:rFonts w:ascii="Calibri" w:eastAsia="Calibri" w:hAnsi="Calibri"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16cid:durableId="1862086012">
    <w:abstractNumId w:val="2"/>
  </w:num>
  <w:num w:numId="2" w16cid:durableId="1374573131">
    <w:abstractNumId w:val="0"/>
  </w:num>
  <w:num w:numId="3" w16cid:durableId="1152988016">
    <w:abstractNumId w:val="1"/>
  </w:num>
  <w:num w:numId="4" w16cid:durableId="1052772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A0"/>
    <w:rsid w:val="0000628C"/>
    <w:rsid w:val="0017008A"/>
    <w:rsid w:val="002B6208"/>
    <w:rsid w:val="00307B5E"/>
    <w:rsid w:val="00316276"/>
    <w:rsid w:val="00467350"/>
    <w:rsid w:val="00670B78"/>
    <w:rsid w:val="006944DF"/>
    <w:rsid w:val="00747C4E"/>
    <w:rsid w:val="00765760"/>
    <w:rsid w:val="007A3865"/>
    <w:rsid w:val="009A1939"/>
    <w:rsid w:val="00A13CFB"/>
    <w:rsid w:val="00AE3490"/>
    <w:rsid w:val="00DA779C"/>
    <w:rsid w:val="00DF07FA"/>
    <w:rsid w:val="00F155F6"/>
    <w:rsid w:val="00F66DA0"/>
    <w:rsid w:val="00F67A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6DC2"/>
  <w15:docId w15:val="{818C4B62-8EE4-45C5-9837-C27C16FB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1">
    <w:name w:val="Обычный1"/>
    <w:rsid w:val="00FC558E"/>
    <w:pPr>
      <w:spacing w:after="0"/>
    </w:pPr>
    <w:rPr>
      <w:rFonts w:ascii="Arial" w:eastAsia="Times New Roman" w:hAnsi="Arial" w:cs="Arial"/>
      <w:color w:val="000000"/>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7">
    <w:name w:val="Normal (Web)"/>
    <w:basedOn w:val="a"/>
    <w:uiPriority w:val="99"/>
    <w:unhideWhenUsed/>
    <w:rsid w:val="006F45F1"/>
    <w:pPr>
      <w:spacing w:before="100" w:beforeAutospacing="1" w:after="100" w:afterAutospacing="1" w:line="240" w:lineRule="auto"/>
    </w:pPr>
    <w:rPr>
      <w:rFonts w:ascii="Times New Roman" w:eastAsia="Times New Roman" w:hAnsi="Times New Roman"/>
      <w:sz w:val="24"/>
      <w:szCs w:val="24"/>
      <w:lang w:val="ru-RU"/>
    </w:r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5" w:type="dxa"/>
        <w:left w:w="15" w:type="dxa"/>
        <w:bottom w:w="15" w:type="dxa"/>
        <w:right w:w="15" w:type="dxa"/>
      </w:tblCellMar>
    </w:tblPr>
  </w:style>
  <w:style w:type="character" w:customStyle="1" w:styleId="12">
    <w:name w:val="Основной шрифт абзаца1"/>
    <w:rsid w:val="00747C4E"/>
  </w:style>
  <w:style w:type="paragraph" w:styleId="aa">
    <w:name w:val="No Spacing"/>
    <w:uiPriority w:val="1"/>
    <w:qFormat/>
    <w:rsid w:val="002B6208"/>
    <w:pPr>
      <w:spacing w:after="0" w:line="240" w:lineRule="auto"/>
    </w:pPr>
  </w:style>
  <w:style w:type="character" w:customStyle="1" w:styleId="oc-title">
    <w:name w:val="oc-title"/>
    <w:basedOn w:val="a0"/>
    <w:rsid w:val="002B6208"/>
  </w:style>
  <w:style w:type="paragraph" w:styleId="ab">
    <w:name w:val="List Paragraph"/>
    <w:basedOn w:val="a"/>
    <w:uiPriority w:val="34"/>
    <w:qFormat/>
    <w:rsid w:val="009A1939"/>
    <w:pPr>
      <w:ind w:left="720"/>
      <w:contextualSpacing/>
    </w:pPr>
  </w:style>
  <w:style w:type="character" w:styleId="ac">
    <w:name w:val="Unresolved Mention"/>
    <w:basedOn w:val="a0"/>
    <w:uiPriority w:val="99"/>
    <w:semiHidden/>
    <w:unhideWhenUsed/>
    <w:rsid w:val="00A13CFB"/>
    <w:rPr>
      <w:color w:val="605E5C"/>
      <w:shd w:val="clear" w:color="auto" w:fill="E1DFDD"/>
    </w:rPr>
  </w:style>
  <w:style w:type="table" w:styleId="ad">
    <w:name w:val="Table Grid"/>
    <w:basedOn w:val="a1"/>
    <w:uiPriority w:val="59"/>
    <w:rsid w:val="0017008A"/>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b"/>
    <w:link w:val="13"/>
    <w:qFormat/>
    <w:rsid w:val="0017008A"/>
    <w:pPr>
      <w:numPr>
        <w:ilvl w:val="1"/>
        <w:numId w:val="3"/>
      </w:numPr>
      <w:shd w:val="clear" w:color="auto" w:fill="FFFFFF"/>
      <w:tabs>
        <w:tab w:val="num" w:pos="-180"/>
        <w:tab w:val="left" w:pos="0"/>
        <w:tab w:val="left" w:pos="360"/>
        <w:tab w:val="left" w:pos="567"/>
        <w:tab w:val="left" w:pos="709"/>
      </w:tabs>
      <w:spacing w:after="0" w:line="240" w:lineRule="auto"/>
      <w:ind w:left="0" w:right="260" w:firstLine="284"/>
      <w:jc w:val="both"/>
    </w:pPr>
    <w:rPr>
      <w:rFonts w:ascii="Times New Roman" w:eastAsia="Times New Roman" w:hAnsi="Times New Roman"/>
      <w:sz w:val="24"/>
      <w:szCs w:val="24"/>
      <w:lang w:eastAsia="ru-RU"/>
    </w:rPr>
  </w:style>
  <w:style w:type="character" w:customStyle="1" w:styleId="13">
    <w:name w:val="Стиль1 Знак"/>
    <w:link w:val="1"/>
    <w:rsid w:val="0017008A"/>
    <w:rPr>
      <w:rFonts w:ascii="Times New Roman" w:eastAsia="Times New Roman" w:hAnsi="Times New Roman" w:cs="Times New Roman"/>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1373">
      <w:bodyDiv w:val="1"/>
      <w:marLeft w:val="0"/>
      <w:marRight w:val="0"/>
      <w:marTop w:val="0"/>
      <w:marBottom w:val="0"/>
      <w:divBdr>
        <w:top w:val="none" w:sz="0" w:space="0" w:color="auto"/>
        <w:left w:val="none" w:sz="0" w:space="0" w:color="auto"/>
        <w:bottom w:val="none" w:sz="0" w:space="0" w:color="auto"/>
        <w:right w:val="none" w:sz="0" w:space="0" w:color="auto"/>
      </w:divBdr>
    </w:div>
    <w:div w:id="1270970405">
      <w:bodyDiv w:val="1"/>
      <w:marLeft w:val="0"/>
      <w:marRight w:val="0"/>
      <w:marTop w:val="0"/>
      <w:marBottom w:val="0"/>
      <w:divBdr>
        <w:top w:val="none" w:sz="0" w:space="0" w:color="auto"/>
        <w:left w:val="none" w:sz="0" w:space="0" w:color="auto"/>
        <w:bottom w:val="none" w:sz="0" w:space="0" w:color="auto"/>
        <w:right w:val="none" w:sz="0" w:space="0" w:color="auto"/>
      </w:divBdr>
      <w:divsChild>
        <w:div w:id="669722976">
          <w:marLeft w:val="0"/>
          <w:marRight w:val="0"/>
          <w:marTop w:val="0"/>
          <w:marBottom w:val="225"/>
          <w:divBdr>
            <w:top w:val="none" w:sz="0" w:space="0" w:color="auto"/>
            <w:left w:val="none" w:sz="0" w:space="0" w:color="auto"/>
            <w:bottom w:val="none" w:sz="0" w:space="0" w:color="auto"/>
            <w:right w:val="none" w:sz="0" w:space="0" w:color="auto"/>
          </w:divBdr>
        </w:div>
        <w:div w:id="64497862">
          <w:marLeft w:val="0"/>
          <w:marRight w:val="0"/>
          <w:marTop w:val="0"/>
          <w:marBottom w:val="0"/>
          <w:divBdr>
            <w:top w:val="none" w:sz="0" w:space="0" w:color="auto"/>
            <w:left w:val="none" w:sz="0" w:space="0" w:color="auto"/>
            <w:bottom w:val="none" w:sz="0" w:space="0" w:color="auto"/>
            <w:right w:val="none" w:sz="0" w:space="0" w:color="auto"/>
          </w:divBdr>
          <w:divsChild>
            <w:div w:id="1423069630">
              <w:marLeft w:val="0"/>
              <w:marRight w:val="0"/>
              <w:marTop w:val="0"/>
              <w:marBottom w:val="0"/>
              <w:divBdr>
                <w:top w:val="none" w:sz="0" w:space="0" w:color="auto"/>
                <w:left w:val="none" w:sz="0" w:space="0" w:color="auto"/>
                <w:bottom w:val="none" w:sz="0" w:space="0" w:color="auto"/>
                <w:right w:val="none" w:sz="0" w:space="0" w:color="auto"/>
              </w:divBdr>
              <w:divsChild>
                <w:div w:id="158271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52532802">
      <w:bodyDiv w:val="1"/>
      <w:marLeft w:val="0"/>
      <w:marRight w:val="0"/>
      <w:marTop w:val="0"/>
      <w:marBottom w:val="0"/>
      <w:divBdr>
        <w:top w:val="none" w:sz="0" w:space="0" w:color="auto"/>
        <w:left w:val="none" w:sz="0" w:space="0" w:color="auto"/>
        <w:bottom w:val="none" w:sz="0" w:space="0" w:color="auto"/>
        <w:right w:val="none" w:sz="0" w:space="0" w:color="auto"/>
      </w:divBdr>
    </w:div>
    <w:div w:id="1623262412">
      <w:bodyDiv w:val="1"/>
      <w:marLeft w:val="0"/>
      <w:marRight w:val="0"/>
      <w:marTop w:val="0"/>
      <w:marBottom w:val="0"/>
      <w:divBdr>
        <w:top w:val="none" w:sz="0" w:space="0" w:color="auto"/>
        <w:left w:val="none" w:sz="0" w:space="0" w:color="auto"/>
        <w:bottom w:val="none" w:sz="0" w:space="0" w:color="auto"/>
        <w:right w:val="none" w:sz="0" w:space="0" w:color="auto"/>
      </w:divBdr>
    </w:div>
    <w:div w:id="1685134077">
      <w:bodyDiv w:val="1"/>
      <w:marLeft w:val="0"/>
      <w:marRight w:val="0"/>
      <w:marTop w:val="0"/>
      <w:marBottom w:val="0"/>
      <w:divBdr>
        <w:top w:val="none" w:sz="0" w:space="0" w:color="auto"/>
        <w:left w:val="none" w:sz="0" w:space="0" w:color="auto"/>
        <w:bottom w:val="none" w:sz="0" w:space="0" w:color="auto"/>
        <w:right w:val="none" w:sz="0" w:space="0" w:color="auto"/>
      </w:divBdr>
      <w:divsChild>
        <w:div w:id="388000792">
          <w:marLeft w:val="0"/>
          <w:marRight w:val="0"/>
          <w:marTop w:val="0"/>
          <w:marBottom w:val="225"/>
          <w:divBdr>
            <w:top w:val="none" w:sz="0" w:space="0" w:color="auto"/>
            <w:left w:val="none" w:sz="0" w:space="0" w:color="auto"/>
            <w:bottom w:val="none" w:sz="0" w:space="0" w:color="auto"/>
            <w:right w:val="none" w:sz="0" w:space="0" w:color="auto"/>
          </w:divBdr>
        </w:div>
        <w:div w:id="1599017728">
          <w:marLeft w:val="0"/>
          <w:marRight w:val="0"/>
          <w:marTop w:val="0"/>
          <w:marBottom w:val="0"/>
          <w:divBdr>
            <w:top w:val="none" w:sz="0" w:space="0" w:color="auto"/>
            <w:left w:val="none" w:sz="0" w:space="0" w:color="auto"/>
            <w:bottom w:val="none" w:sz="0" w:space="0" w:color="auto"/>
            <w:right w:val="none" w:sz="0" w:space="0" w:color="auto"/>
          </w:divBdr>
          <w:divsChild>
            <w:div w:id="908272068">
              <w:marLeft w:val="0"/>
              <w:marRight w:val="0"/>
              <w:marTop w:val="0"/>
              <w:marBottom w:val="0"/>
              <w:divBdr>
                <w:top w:val="none" w:sz="0" w:space="0" w:color="auto"/>
                <w:left w:val="none" w:sz="0" w:space="0" w:color="auto"/>
                <w:bottom w:val="none" w:sz="0" w:space="0" w:color="auto"/>
                <w:right w:val="none" w:sz="0" w:space="0" w:color="auto"/>
              </w:divBdr>
              <w:divsChild>
                <w:div w:id="725127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3-12-012392-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HjUEQfKL78l/6U4PSpFsesMlg==">CgMxLjAyCGguZ2pkZ3hzMgloLjN6bnlzaDcyDmgudXcwdmQ5YmtiMXJhMg5oLmdjc2ZiYWxvdDJmbzINaC50azdndGVlNm16bTIOaC5xbndtdGZmM2pzdHoyDmguM3hxMThldzRkdmw3Mg5oLnYxcGI3a2JsZXVsMDIOaC5zZmhoYXM0MGI5aDk4AHIhMS1Gb3J4U1dWMHA2dlZPZUVqcU9nNWtxWFBwQXM1ci1u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2205</Words>
  <Characters>1257</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Тарас Фещенко</cp:lastModifiedBy>
  <cp:revision>2</cp:revision>
  <dcterms:created xsi:type="dcterms:W3CDTF">2025-03-14T09:20:00Z</dcterms:created>
  <dcterms:modified xsi:type="dcterms:W3CDTF">2025-03-14T09:20:00Z</dcterms:modified>
</cp:coreProperties>
</file>